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58 vom 16. Dezember 2022</w:t>
      </w:r>
    </w:p>
    <w:p>
      <w:r>
        <w:t>VS Kantonsgericht, 2022-12-16, FR</w:t>
      </w:r>
    </w:p>
    <w:p>
      <w:r>
        <w:rPr>
          <w:b/>
        </w:rPr>
        <w:t xml:space="preserve">Quelle: </w:t>
      </w:r>
      <w:r>
        <w:t>https://mcp.opencaselaw.ch/entscheid/vs_gerichte_C1 16 58</w:t>
      </w:r>
    </w:p>
    <w:p>
      <w:r>
        <w:t>FR: VS_GERICHTE C1 16 58 du 16 décembre 2022</w:t>
      </w:r>
    </w:p>
    <w:p>
      <w:r>
        <w:t>IT: VS_GERICHTE C1 16 58 del 16 dicembre 2022</w:t>
      </w:r>
    </w:p>
    <w:p>
      <w:pPr>
        <w:pStyle w:val="Heading2"/>
      </w:pPr>
      <w:r>
        <w:t>Regeste</w:t>
      </w:r>
    </w:p>
    <w:p>
      <w:r>
        <w:t>C1 16 58 DECISION DU 16 DECEMBRE 2022 Le juge du district de l'Entremont Pierre Gapany, juge en la cause X _________, à A _________, demandeur, représenté par Maître Markus Alder, avocat, Zürich contre Y _________, à B _________, défenderesse, représentée par Maître Claude Laporte, avocat, Genève (action en libération de dette)</w:t>
      </w:r>
    </w:p>
    <w:p>
      <w:pPr>
        <w:pStyle w:val="Heading2"/>
      </w:pPr>
      <w:r>
        <w:t>Erwägungen</w:t>
      </w:r>
    </w:p>
    <w:p>
      <w:r>
        <w:rPr>
          <w:b/>
        </w:rPr>
        <w:t>E. 2</w:t>
      </w:r>
    </w:p>
    <w:p>
      <w:r>
        <w:t>Le « Settlement Agreement » des 30 et 31 janvier 2011 contient une clause d’élection de droit en faveur du droit suisse qui figurait déjà dans « Payment Agreement » daté des 10 août et 3 septembre 2007. On peut en déduire que les parties ont décidé de soumettre au droit suisse leurs relations contractuelles (art. 116 LDIP).</w:t>
      </w:r>
    </w:p>
    <w:p>
      <w:r>
        <w:rPr>
          <w:b/>
        </w:rPr>
        <w:t>E. 3</w:t>
      </w:r>
    </w:p>
    <w:p>
      <w:r>
        <w:t>a) L’action en libération de dette de l’art. 83 al. 2 LP apparaît comme le pendant de l’action en reconnaissance de dette prévue à l’art. 79 LP, dont elle ne se distingue que par le renversement procédural du rôle des parties. Alors que l’action en reconnaissance de dette est ouverte par le créancier poursuivant, qui a le rôle du demandeur, contre le poursuivi, en tant que défendeur, l’action en libération de dette est introduite par le poursuivi, qui en est ainsi le demandeur, contre le poursuivant assumant le rôle de défendeur. Le fardeau de l’allégation et celui de la preuve ne sont en revanche pas renversés : dans l’une et l’autre de ces deux procédures, il appartient au poursuivant de prouver les faits dont il déduit l’existence et l’exigibilité de la créance et/ou le droit d’exercer des poursuites, par exemple en produisant une reconnaissance de dette, alors qu’il incombe au poursuivi de se défendre en établissant la non-existence ou le défaut d’exigibilité de la dette constatée par le titre (ATF 131 III 268 consid. 3.1 p. 272).</w:t>
      </w:r>
    </w:p>
    <w:p>
      <w:r>
        <w:t>b) En l’espèce, l’existence de la dette du demandeur envers la défenderesse, n’est pas litigieuse. Par contre, le demandeur soutient que cette dette lui a été partiellement remise, qu’il en a payé le solde et qu’il lui en a été donné quittance.</w:t>
      </w:r>
    </w:p>
    <w:p>
      <w:r>
        <w:rPr>
          <w:b/>
        </w:rPr>
        <w:t>E. 4</w:t>
      </w:r>
    </w:p>
    <w:p>
      <w:r>
        <w:t>A titre préalable, il convient d’examiner dans quelle mesure la défenderesse est liée envers le demandeur par les actes de Me H _________ et de F _________.</w:t>
      </w:r>
    </w:p>
    <w:p>
      <w:r>
        <w:rPr>
          <w:b/>
        </w:rPr>
        <w:t>E. 4.1</w:t>
      </w:r>
    </w:p>
    <w:p>
      <w:r>
        <w:t>Le droit applicable aux pouvoirs de représentation de Me H _________ et de F _________ – respectivement de L _________ Ltd – en faveur de la défenderesse doit être distingué du droit applicable aux relations entre les parties. A cet égard, les effets de la représentation de Me H _________, avocat basé à Zurich, sont régis par le droit suisse. Même si le pays où se trouve le siège social de L _________ Ltd n’a pas été allégué, il est patent qu’il n’est pas en Suisse. Par ailleurs, lorsqu’il a été entendu comme témoin, F _________ était domicilié en Norvège. Cependant, comme le demandeur était, à l’époque, établi en Suisse (pièces 2, 28 et 29), c’est dans ce pays que F _________ et L _________ Ltd sont réputés avoir déployé contre lui leur activité de recouvrement pour le compte de la défenderesse. Dès lors, le droit suisse régit aussi les effets de cette représentation (art. 126 al. 2 LDIP). Au demeurant, le demandeur a invoqué le droit</w:t>
      </w:r>
    </w:p>
    <w:p>
      <w:r>
        <w:t>- 17 -</w:t>
      </w:r>
    </w:p>
    <w:p>
      <w:r>
        <w:t>suisse (art. 32 ss CO) par rapport aux pouvoirs de représentation tant de Me H _________ que de F _________, sans susciter de réaction de la défenderesse. Il y a dès lors à tout le moins un accord tacite à ce sujet entre les parties.</w:t>
      </w:r>
    </w:p>
    <w:p>
      <w:r>
        <w:rPr>
          <w:b/>
        </w:rPr>
        <w:t>E. 4.2</w:t>
      </w:r>
    </w:p>
    <w:p>
      <w:r>
        <w:t>a) Selon l’art. 32 al. 1 CO, les droits et les obligations dérivant d’un contrat fait au nom d’une autre personne par un représentant autorisé passent au représenté. Aux termes de l’art. 33 al. 3 CO, si les pouvoirs ont été portés par le représenté à la connaissance d’un tiers, leur étendue est déterminée envers ce dernier par les termes de la communication qui lui a été faite. Selon l’art. 34 al. 3 CO, lorsque le représenté a fait connaître, soit en termes exprès, soit par ses actes, les pouvoirs qu’il a conférés, il ne peut en opposer aux tiers de bonne foi la révocation totale ou partielle que s’il a fait connaître également cette révocation.</w:t>
      </w:r>
    </w:p>
    <w:p>
      <w:r>
        <w:t>Selon l’art. 32 al. 1 CO, le représenté est normalement lié lorsque le représentant a manifesté agir au nom de celui-ci – du représenté – (première condition) et qu'il s'était vu octroyer des pouvoirs de représentation internes par celui-ci (seconde condition). Cette disposition protège ainsi essentiellement les intérêts du représenté. Toutefois, en l'absence de pouvoirs internes du représentant, le tiers cocontractant est protégé exceptionnellement par l'art. 33 al. 3 CO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Le représenté qui a créé l'apparence d'un rapport de représentation ou laissé s'en créer un doit souffrir, en vertu du principe de la confiance (ou de l'apparence efficace), que le tiers de bonne foi lui impute tous les effets des actes accomplis en son nom. Il ne s'agit plus ici de protéger les intérêts du représenté, mais, dans une certaine mesure, ceux du tiers cocontractant et par là la sécurité des transactions. Parallèlement, l'art. 34 al. 3 CO protège le tiers, auquel les pouvoirs du représentant ont été communiqués, en cas de révocation de ces pouvoirs par le représenté (arrêt du Tribunal fédéral 4A_341/2021 du 15 décembre 2021, consid. 4.1).</w:t>
      </w:r>
    </w:p>
    <w:p>
      <w:r>
        <w:t>b) En l’occurrence, le mandat de Me H _________ en faveur de la défenderesse remonte au 8 mars 2007. Comme le nom de l’Etude I _________ SA apparaît dans le projet – inabouti – de « Settlement Agreement » produit par la défenderesse (pièce 33), il est à tout le moins vraisemblable que le demandeur était au courant de l’existence de ce mandat à tout le moins au début de l’année 2011. Comme il a été admis que</w:t>
      </w:r>
    </w:p>
    <w:p>
      <w:r>
        <w:t>- 18 -</w:t>
      </w:r>
    </w:p>
    <w:p>
      <w:r>
        <w:t>F _________ avait participé aux négociations pour la défenderesse, son implication dans l’affaire était aussi connue du demandeur.</w:t>
      </w:r>
    </w:p>
    <w:p>
      <w:r>
        <w:t>Néanmoins, c’est en découvrant – directement ou au travers de son avocat, Me E _________ – la lettre de confirmation du 1er septembre 2011 que le demandeur a pu avoir une connaissance précise des pouvoirs de Me H _________ et de F _________. Cette lettre était en effet accompagnée de la procuration écrite délivrée le 8 mars 2007 par la défenderesse à Me H _________. Aux termes de cette procuration, celui-ci disposait de compétences très étendues en relation avec le recouvrement de la dette du demandeur. L’avocat pouvait agir pour la défenderesse, tant en justice qu’à titre extrajudiciaire (out of court), il pouvait notamment signer des renonciations (to sign waivers), convenir de transactions (to agree to settlements) et retirer des procès (to withdraw lawsuits). Par conséquent, dès le moment où le demandeur ou Me E _________ a eu connaissance de la procuration, la défenderesse a en principe été engagée envers le premier par tous les actes effectués en son nom par Me H _________ qui se rapportaient à sa créance. La procuration du 8 mars 2007 accordait en outre expressément un droit de substitution à Me H _________. Dans sa lettre du 1er septembre 2011, l’avocat a confirmé au demandeur que F _________ agissait également « sans aucune limitation » au nom et pour le compte de la défenderesse. Dès lors, cette dernière a aussi en principe été engagée envers le demandeur dès ce moment par tous les actes de F _________ qui se rapportaient à sa créance, jusqu’à ce que Me H _________ annonce la révocation du mandat à Me E _________, le 5 décembre 2011. Il n’existe aucune indication selon laquelle, avant cette date, le demandeur ou son avocat étaient conscients, ou auraient dû l’être, que la désignation de F _________ comme représentant « plénipotentiaire » de la défenderesse n’était pas conforme à la volonté de celle-ci, ni que F _________ se serait écarté des instructions qui lui avaient été données. La bonne foi du demandeur et de son avocat par rapport aux pouvoirs de représentation de F _________ a ainsi été protégée jusqu’au 5 décembre 2011.</w:t>
      </w:r>
    </w:p>
    <w:p>
      <w:r>
        <w:t>Indépendamment des rapports internes entre l’avocat et sa cliente, la confiance du demandeur dans les pouvoirs de représentation de Me H _________ a en principe été protégée jusqu’à ce que celui-ci annonce leur révocation à Me E _________, le 16 décembre 2022. En particulier, dans le message qu’elle a elle-même adressé à Me E _________ le 12 décembre 2011, la défenderesse désignait encore Me H _________ comme son avocat (our lawyer Mr H _________), sans mentionner une quelconque restriction à la procuration de ce dernier. L’avocat du demandeur était ainsi encore légitimé à se fier aux déclarations contenues dans le courriel de Me H _________ du</w:t>
      </w:r>
    </w:p>
    <w:p>
      <w:r>
        <w:t>- 19 -</w:t>
      </w:r>
    </w:p>
    <w:p>
      <w:r>
        <w:t>14 décembre 2011, annonçant le retrait de la poursuite du 13 mars 2007. Par contre, le contenu du message de Me H _________ du 15 décembre 2011 aurait dû interpeller Me E _________, puisque son confrère lui donnait quittance de la libération totale du demandeur sur la base des assurances de F _________ dont il avait annoncé dix jours plus tôt que la défenderesse ne reconnaissait pas les actes. Il résulte de cette contradiction, ajoutée au message du 12 décembre 2011 de la défenderesse, qui soutenait avoir été escroquée, et au messages « musclés » expédiés à l’avocat zurichois les 14 et 15 décembre 2011 par Me E _________, que ce dernier – et par conséquent le demandeur qu’il représentait – ne pouvait pas, de bonne foi, se fier à la quittance définitive qui lui a été donnée le 15 décembre 2011 au nom de la défenderesse par Me H _________.</w:t>
      </w:r>
    </w:p>
    <w:p>
      <w:r>
        <w:t>Comme la défenderesse n’a pas été engagée envers le demandeur par la déclaration faite en son nom le 15 décembre 2011 par Me H _________, le tribunal peut se dispenser d’examiner si cette déclaration était entachée d’un vice du consentement.</w:t>
      </w:r>
    </w:p>
    <w:p>
      <w:r>
        <w:rPr>
          <w:b/>
        </w:rPr>
        <w:t>E. 5</w:t>
      </w:r>
    </w:p>
    <w:p>
      <w:r>
        <w:t>Cela étant, l’absence d’effet pour la défenderesse de la quittance définitive qui a été donnée le 15 décembre 2011 au demandeur par Me H _________ est sans conséquence sur l’issue du litige.</w:t>
      </w:r>
    </w:p>
    <w:p>
      <w:r>
        <w:t>a) L’exécution de l’obligation se définit par l’accomplissement de la prestation due. Au créancier, l’exécution procure l’objet de sa créance ; pour le débiteur, elle a l’effet d’éteindre sa dette (HOHL, Commentaire romand, 3e éd., n. 1 ad Introduction aux art. 68- 83 CO). Le contenu concret de la prestation que doit fournir le débiteur dépend en principe du contrat qui le lie au créancier, les art. 68 à 83 CO ne contenant que des règles supplétives ou interprétatives (HOHL, op. cit., n. 5 ad Introduction aux art. 68- 83 CO).</w:t>
      </w:r>
    </w:p>
    <w:p>
      <w:r>
        <w:t>La remise conventionnelle de dette est un contrat non formel passé entre le créancier et le débiteur qui a pour objet l’extinction totale ou partielle d’une créance (art. 115 CO ; 131 III 586 consid. 4.2.3.4).</w:t>
      </w:r>
    </w:p>
    <w:p>
      <w:r>
        <w:t>La quittance (art. 88 CO) est un écrit par lequel le créancier atteste avoir reçu une prestation déterminée (LOERTSCHER/TOLOU, Commentaire romand, 3e éd., n. 4 ad art. 88 CO). La quittance établit une présomption de droit que la dette a été éteinte (LOERTSCHER/TOLOU, op. cit., n. 8 ad art. 88 CO). Par la quittance pour solde de comptes (Saldoquittung), le créancier reconnaît que le débiteur a exécuté la prestation et, de</w:t>
      </w:r>
    </w:p>
    <w:p>
      <w:r>
        <w:t>- 20 -</w:t>
      </w:r>
    </w:p>
    <w:p>
      <w:r>
        <w:t>surcroît, que lui-même n'a pas ou plus d'autre ou plus ample prétention à faire valoir contre le débiteur relativement à la créance ou au rapport de droit en cause, soit que la dette ait été remise (art. 115 CO), soit qu'elle ait été éteinte. La quittance pour solde de comptes est une déclaration de volonté unilatérale et son interprétation obéit aux mêmes règles que celles qui gouvernent l'interprétation des manifestations de volonté (ATF 127 III 444, consid. 1a).</w:t>
      </w:r>
    </w:p>
    <w:p>
      <w:r>
        <w:t>En droit suisse des contrats, la question de savoir si les parties ont conclu un accord est soumise au principe de la priorité de la volonté subjective sur la volonté objective.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 en pareil cas, l'accord est de droit (ou normatif ; ATF 144 III 93, consid. 5.2).</w:t>
      </w:r>
    </w:p>
    <w:p>
      <w:r>
        <w:t>b) En l’occurrence, le tribunal a retenu en fait l’existence d’un accord entre le demandeur et la défenderesse en vertu duquel le premier s’acquitterait de sa dette de 8'105'782 USD résultant du « Payment Agreement » des 10 août/3 septembre 2007 envers la seconde en transférant l’équivalent de 1'500'000 NOK en actions et en versant 7'000'000 NOK en espèces sur le compte bancaire de L _________ Ltd. La réelle intention commune des parties ayant ainsi été établie, il n’y a pas de place pour une interprétation de leurs déclarations selon le principe de la confiance. En droit, cet accord constituait une remise conventionnelle partielle de dette.</w:t>
      </w:r>
    </w:p>
    <w:p>
      <w:r>
        <w:t>Bien que cette question soit sans pertinence dans le cadre de l’action en libération de dette, qui ne concerne que le paiement de la dette d’argent, la cession des actions à l’ayant droit économique de la défenderesse, à une date qui n’a pas été alléguée, a été établie. Le demandeur a par ailleurs prouvé avoir versé 1'200'000 NOK le 2 février 2011, 400'000 NOK le 10 mars 2011, 600'000 NOK le 17 mars 2011, 200'000 NOK le 25 mars 2011, 1'000'000 NOK le 6 avril 2011, 450'000 NOK le 16 juin 2011 et 3'000'000 NOK le 2 septembre 2011, soit au total 6'850'000 NOK. Comme le demandeur a aussi établi que cet argent avait été versé en mains de L _________ Ltd conformément à l’accord passé</w:t>
      </w:r>
    </w:p>
    <w:p>
      <w:r>
        <w:t>- 21 -</w:t>
      </w:r>
    </w:p>
    <w:p>
      <w:r>
        <w:t>entre les parties, il a valablement exécuté à due concurrence son obligation envers la défenderesse.</w:t>
      </w:r>
    </w:p>
    <w:p>
      <w:r>
        <w:t>S’agissant du solde de 150'000 NOK, il correspond selon le demandeur à une partie de la commission de F _________ pour son activité d’encaissement. Selon le demandeur, celui-ci devait être rémunéré par la défenderesse par un prélèvement sur la somme versée à L _________ Ltd. Faisant valoir que F _________ y a partiellement renoncé, le demandeur estime avoir été libéré dans le même mesure. La pertinence de ce raisonnement peut rester indécise. En effet, F _________ a indiqué de sa main sur la lettre du 1er septembre 2011 qu’au paiement de la somme de 3'000'000 NOK sur le compte de L _________ Ltd, le demandeur aurait rempli ses obligations envers la défenderesse. A ce moment, il agissait encore en tant que représentant de la défenderesse « sans aucune limitation ». Le demandeur pouvait dès lors de bonne foi se fier à cette indication. Comme il s’est exécuté le 2 septembre 2011, soit bien avant qu’il soit averti de la fin du mandat de F _________, il a valablement éteint sa dette à cette date, respectivement cette dette a fait l’objet d’une remise conventionnelle à hauteur de 150'000 NOK entre lui et la défenderesse, représentée par F _________.</w:t>
      </w:r>
    </w:p>
    <w:p>
      <w:r>
        <w:t>Dans ces circonstances, le demandeur a démontré l’extinction complète de la dette de de 8'105'782 USD résultant du « Payment Agreement » des 10 août/3 septembre 2007 envers la défenderesse. Comme c’est cette dette qui a conduit à la remise de l’acte de défaut de biens no xx2 du 19 janvier 2011 de 9'622'759 fr. 50 (créance exprimée en valeur légale suisse, avec intérêts et frais ; art. 67 al. 1 ch. 3 LP), qui lui-même constitue le titre ayant fondé la décision de mainlevée provisoire du 17 mai 2016 dans la poursuite no xxx1 de l’office des poursuites des districts de Martigny et d’Entremont, l’action en libération de dette doit être admise. Il est par conséquent constaté que le demandeur ne doit pas à la défenderesse le montant de 9'622'759 fr. 50, objet de la poursuite no xxx1.</w:t>
      </w:r>
    </w:p>
    <w:p>
      <w:r>
        <w:rPr>
          <w:b/>
        </w:rPr>
        <w:t>E. 6.1</w:t>
      </w:r>
    </w:p>
    <w:p>
      <w:r>
        <w:t>Le demandeur a conclu au maintien de l’opposition totale formée au commandement de payer dans la poursuite no xxx1 de l’office des poursuites des districts de Martigny et d’Entremont ainsi qu’à l’annulation de cette poursuite.</w:t>
      </w:r>
    </w:p>
    <w:p>
      <w:r>
        <w:t>a) Si l’action en libération de dette est admise, la poursuite pendante est arrêtée définitivement. Elle tombe eo ipso, ce qui entraîne la caducité de la décision de mainlevée provisoire et de la saisie exécutée à titre provisoire, ainsi que de la prétention du créancier sur le produit de la réalisation (arrêt du Tribunal fédéral 5A_672/2014 du 8 janvier 2014 consid. 1.2.2, in RSPC 2015 p. 177).</w:t>
      </w:r>
    </w:p>
    <w:p>
      <w:r>
        <w:t>- 22 -</w:t>
      </w:r>
    </w:p>
    <w:p>
      <w:r>
        <w:t>b) En l’espèce, l’action en libération de dette a été entièrement admise, ce qui suffit à mettre fin définitivement à la poursuite no xxx1. Ainsi, faute d’intérêt juridiquement protégé du demandeur, ses conclusions tendant au maintien de l’opposition et à l’annulation de la poursuite sont irrecevables (art. 59 al. 2 let. a et 60 CPC).</w:t>
      </w:r>
    </w:p>
    <w:p>
      <w:r>
        <w:rPr>
          <w:b/>
        </w:rPr>
        <w:t>E. 6.2</w:t>
      </w:r>
    </w:p>
    <w:p>
      <w:r>
        <w:t>Le demandeur a conclu à ce qu’il soit ordonné à la défenderesse de remettre, à son attention, à l’office des poursuites des districts de Martigny et d’Entremont, l’original de l’acte de défaut de biens no xx2 et qu’il soit ordonné à l’office de radier l’acte de défaut de biens.</w:t>
      </w:r>
    </w:p>
    <w:p>
      <w:r>
        <w:t>a) Le créancier intégralement désintéressé est tenu de remettre un acte de défaut de biens acquitté à l’office des poursuites à l’intention du débiteur (art. 150 al. 1 LP). Le débiteur est légitimé à agir en restitution contre lui (ATF 95 III 43 consid. 1). Indépendamment de la restitution, le débiteur a un droit direct de faire constater par l’office des poursuites dans le registre des poursuites que la créance est éteinte, que ce soit au cours d’une nouvelle poursuite ou en dehors d’une procédure de poursuite (ATF 95 III 43 consid. 1), et de faire radier l’inscription de l’acte de défaut de biens (art. 149a al. 3 LP).</w:t>
      </w:r>
    </w:p>
    <w:p>
      <w:r>
        <w:t>b) En l’espèce, la dette qui a conduit à la remise de l’acte de défaut de bien no xx2 du 19 janvier 2011, soit celle reconnue par le demandeur dans le « Payment Agreement » des 10 août / 3 septembre 2007, est entièrement éteinte. Il convient par conséquent de condamner la défenderesse à remettre l’acte de défaut de biens à l’office des poursuites des districts de Martigny et Entremont à l’attention du demandeur.</w:t>
      </w:r>
    </w:p>
    <w:p>
      <w:r>
        <w:t>Comme l’extinction de la créance pour laquelle l’acte de défaut de biens no xx2 avait été délivré a été constatée, le demandeur est en droit de requérir directement l’office des poursuites des districts de Martigny et Entremont d’en radier l’inscription du registre des poursuites, au demeurant sans attendre que le titre lui ait été restitué. La conclusion tendant à ce que le tribunal ordonne cette radiation est par conséquent irrecevable.</w:t>
      </w:r>
    </w:p>
    <w:p>
      <w:r>
        <w:rPr>
          <w:b/>
        </w:rPr>
        <w:t>E. 7.1</w:t>
      </w:r>
    </w:p>
    <w:p>
      <w:r>
        <w:t>Le demandeur ayant eu gain de cause sur l’essentiel, les frais judiciaires sont entièrement mis à la charge de la défenderesse (art. 106 al. 1 CPC).</w:t>
      </w:r>
    </w:p>
    <w:p>
      <w:r>
        <w:rPr>
          <w:b/>
        </w:rPr>
        <w:t>E. 7.2</w:t>
      </w:r>
    </w:p>
    <w:p>
      <w:r>
        <w:t>Arrêté en fonction d’une valeur litigieuse de 9'622'759 fr. 50 (art. 91 al. 1 CPC), du nombre de questions de fait et de droit traitées, mais également des principes de la</w:t>
      </w:r>
    </w:p>
    <w:p>
      <w:r>
        <w:t>- 23 -</w:t>
      </w:r>
    </w:p>
    <w:p>
      <w:r>
        <w:t>couverture des frais et de l'équivalence des prestations, l'émolument forfaitaire de justice est arrêté à 100'000 fr. (art. 95 al. 2 let. b CPC, 3, 13 et 16 al. 1 LTar), montant auquel s’ajoutent les frais d’administration des preuves, par 3'941 fr. 90 (art. 95 al. 2 let. c CPC ; frais de traduction et d’interprète). Les frais judiciaires, par 103'941 fr. 90, seront prélevés sur les avances effectuées par le demandeur (122'000 fr.) et remboursés à celui-ci à due concurrence par la défenderesse (art. 111 al. 2 CPC).</w:t>
      </w:r>
    </w:p>
    <w:p>
      <w:r>
        <w:rPr>
          <w:b/>
        </w:rPr>
        <w:t>E. 7.3</w:t>
      </w:r>
    </w:p>
    <w:p>
      <w:r>
        <w:t>Le demandeur a conclu à l’allocation de dépens.</w:t>
      </w:r>
    </w:p>
    <w:p>
      <w:r>
        <w:t>Eu égard aux motifs retenus pour fixer l’émolument de justice, en particulier à la valeur litigieuse, et à l’activité déployée par l’avocat du demandeur, telle qu’elle ressort du dossier judiciaire, les honoraires sont arrêtés à 120'000 francs, TVA comprise (art. 27 et 32 al. 1 LTar). S’y ajoutent les débours, fixés à 3'000 fr. sur le vu du dossier judiciaire (port, copies, itinéraires, TVA sur les débours. La défenderesse versera donc 123'000 fr. au demandeur au titre d’indemnité pour les dépens (art. 111 al. 2 CPC).</w:t>
      </w:r>
    </w:p>
    <w:p>
      <w:r>
        <w:t>- 24 -</w:t>
      </w:r>
    </w:p>
    <w:p>
      <w:r>
        <w:t>Prononce</w:t>
      </w:r>
    </w:p>
    <w:p>
      <w:r>
        <w:t>1. L’action en libération de dette est admise, dans la mesure de sa recevabilité. 2. En conséquence, il est constaté que X _________ ne doit pas à Y _________ le montant de 9'622'759 fr. 50 qui fait l’objet de la poursuite no xxx1 de l’office des poursuites des districts de Martigny et d’Entremont. 3. Y _________ est condamnée à remettre à l’office des poursuites des districts de Martigny et Entremont, à l’attention de X _________, l’original de l’acte de défaut de biens no xx2. 4. Les frais judiciaires (103'941 fr. 90) sont mis à la charge de Y _________ Y _________ payera 103'941 fr. 90 à X _________ au titre de remboursement des avances de frais. 5. Y _________ payera à X _________ une indemnité pour les dépens de 123'000 francs. Sembrancher, le 16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